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7856F" w14:textId="21E84624" w:rsidR="004B2C86" w:rsidRPr="00152C21" w:rsidRDefault="00152C21" w:rsidP="00152C21">
      <w:pPr>
        <w:tabs>
          <w:tab w:val="left" w:pos="6237"/>
        </w:tabs>
        <w:jc w:val="right"/>
        <w:rPr>
          <w:rFonts w:ascii="Verdana" w:hAnsi="Verdana"/>
          <w:b/>
        </w:rPr>
      </w:pPr>
      <w:r w:rsidRPr="00152C21">
        <w:rPr>
          <w:rFonts w:ascii="Verdana" w:hAnsi="Verdana"/>
          <w:b/>
        </w:rPr>
        <w:t>Procedimiento 2727</w:t>
      </w: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344"/>
        <w:gridCol w:w="3119"/>
      </w:tblGrid>
      <w:tr w:rsidR="004B2C86" w:rsidRPr="00A31AF0" w14:paraId="66BE15E5" w14:textId="77777777" w:rsidTr="003312C9">
        <w:trPr>
          <w:trHeight w:val="424"/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7330C" w14:textId="29067A7D" w:rsidR="003312C9" w:rsidRPr="00A31AF0" w:rsidRDefault="004B2C86" w:rsidP="003312C9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b/>
                <w:bCs/>
                <w:sz w:val="20"/>
                <w:szCs w:val="20"/>
                <w:lang w:eastAsia="es-ES"/>
              </w:rPr>
              <w:t>ANEXO IV</w:t>
            </w:r>
          </w:p>
        </w:tc>
      </w:tr>
      <w:tr w:rsidR="008708E0" w:rsidRPr="00A31AF0" w14:paraId="295DC344" w14:textId="77777777" w:rsidTr="00632E69">
        <w:trPr>
          <w:trHeight w:val="377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0E2E05" w14:textId="6FE5A799" w:rsidR="008708E0" w:rsidRPr="00A31AF0" w:rsidRDefault="003312C9" w:rsidP="008708E0">
            <w:pPr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lang w:eastAsia="es-ES"/>
              </w:rPr>
              <w:t>Convocatoria: año 2022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AE7F7E" w14:textId="4E084429" w:rsidR="00546A37" w:rsidRPr="00546A37" w:rsidRDefault="00546A37" w:rsidP="00546A37">
            <w:pPr>
              <w:pStyle w:val="Ttulo2"/>
              <w:rPr>
                <w:rFonts w:ascii="Verdana" w:hAnsi="Verdana"/>
                <w:b/>
                <w:color w:val="auto"/>
                <w:sz w:val="22"/>
                <w:szCs w:val="22"/>
                <w:lang w:eastAsia="es-ES"/>
              </w:rPr>
            </w:pPr>
            <w:r w:rsidRPr="00546A37">
              <w:rPr>
                <w:rFonts w:ascii="Verdana" w:hAnsi="Verdana"/>
                <w:b/>
                <w:color w:val="auto"/>
                <w:sz w:val="22"/>
                <w:szCs w:val="22"/>
                <w:lang w:eastAsia="es-ES"/>
              </w:rPr>
              <w:t>Procedimiento 2727</w:t>
            </w:r>
          </w:p>
        </w:tc>
      </w:tr>
      <w:tr w:rsidR="003312C9" w:rsidRPr="00A31AF0" w14:paraId="7AEE695D" w14:textId="77777777" w:rsidTr="00632E69">
        <w:trPr>
          <w:trHeight w:val="369"/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105089" w14:textId="537AA76F" w:rsidR="003312C9" w:rsidRPr="007F28E5" w:rsidRDefault="003312C9" w:rsidP="00546A37">
            <w:pPr>
              <w:pStyle w:val="Ttulo2"/>
              <w:jc w:val="center"/>
              <w:rPr>
                <w:rFonts w:ascii="Verdana" w:hAnsi="Verdana"/>
                <w:b/>
                <w:color w:val="auto"/>
                <w:sz w:val="22"/>
                <w:szCs w:val="22"/>
                <w:lang w:eastAsia="es-ES"/>
              </w:rPr>
            </w:pPr>
            <w:r w:rsidRPr="00546A37">
              <w:rPr>
                <w:rFonts w:ascii="Verdana" w:hAnsi="Verdana"/>
                <w:b/>
                <w:color w:val="auto"/>
                <w:sz w:val="22"/>
                <w:szCs w:val="22"/>
                <w:lang w:eastAsia="es-ES"/>
              </w:rPr>
              <w:t>DOCUMENTACIÓN QUE SE APORTA Y SU REFERENCIA.</w:t>
            </w:r>
          </w:p>
        </w:tc>
      </w:tr>
      <w:tr w:rsidR="004B2C86" w:rsidRPr="00A31AF0" w14:paraId="0E87868A" w14:textId="77777777" w:rsidTr="00546A37">
        <w:trPr>
          <w:trHeight w:val="441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AD76C" w14:textId="1C62B3AA" w:rsidR="004B2C86" w:rsidRPr="00546A37" w:rsidRDefault="00546A37" w:rsidP="00546A37">
            <w:pPr>
              <w:pStyle w:val="Ttulo2"/>
              <w:jc w:val="center"/>
              <w:rPr>
                <w:rFonts w:ascii="Verdana" w:hAnsi="Verdana"/>
                <w:b/>
                <w:color w:val="auto"/>
                <w:sz w:val="22"/>
                <w:szCs w:val="22"/>
                <w:lang w:eastAsia="es-ES"/>
              </w:rPr>
            </w:pPr>
            <w:r w:rsidRPr="00546A37">
              <w:rPr>
                <w:rFonts w:ascii="Verdana" w:hAnsi="Verdana"/>
                <w:b/>
                <w:color w:val="auto"/>
                <w:sz w:val="22"/>
                <w:szCs w:val="22"/>
                <w:lang w:eastAsia="es-ES"/>
              </w:rPr>
              <w:t>DOCUMENTACIÓN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70CEC" w14:textId="251BC141" w:rsidR="004B2C86" w:rsidRPr="00546A37" w:rsidRDefault="00546A37" w:rsidP="00546A37">
            <w:pPr>
              <w:pStyle w:val="Ttulo2"/>
              <w:jc w:val="center"/>
              <w:rPr>
                <w:rFonts w:ascii="Verdana" w:hAnsi="Verdana"/>
                <w:b/>
                <w:color w:val="auto"/>
                <w:sz w:val="22"/>
                <w:szCs w:val="22"/>
                <w:lang w:eastAsia="es-ES"/>
              </w:rPr>
            </w:pPr>
            <w:r w:rsidRPr="00546A37">
              <w:rPr>
                <w:rFonts w:ascii="Verdana" w:hAnsi="Verdana"/>
                <w:b/>
                <w:color w:val="auto"/>
                <w:sz w:val="22"/>
                <w:szCs w:val="22"/>
                <w:lang w:eastAsia="es-ES"/>
              </w:rPr>
              <w:t>REFERENCIA</w:t>
            </w:r>
          </w:p>
        </w:tc>
      </w:tr>
      <w:tr w:rsidR="004B2C86" w:rsidRPr="00A31AF0" w14:paraId="043A6841" w14:textId="77777777" w:rsidTr="00546A37">
        <w:trPr>
          <w:trHeight w:val="689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20E3" w14:textId="1E2AFB79" w:rsidR="004B2C86" w:rsidRPr="00A31AF0" w:rsidRDefault="007C5D7D" w:rsidP="00546A37">
            <w:pPr>
              <w:spacing w:after="0" w:line="240" w:lineRule="atLeast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4.1 </w:t>
            </w:r>
            <w:r w:rsidRPr="005369AD">
              <w:rPr>
                <w:rFonts w:ascii="Verdana" w:hAnsi="Verdana" w:cs="Tahoma"/>
                <w:b/>
                <w:sz w:val="20"/>
                <w:szCs w:val="20"/>
                <w:lang w:eastAsia="es-ES"/>
              </w:rPr>
              <w:t>ANEXO I</w:t>
            </w:r>
            <w:r>
              <w:rPr>
                <w:rFonts w:ascii="Verdana" w:hAnsi="Verdana" w:cs="Tahoma"/>
                <w:sz w:val="20"/>
                <w:szCs w:val="20"/>
                <w:lang w:eastAsia="es-ES"/>
              </w:rPr>
              <w:t>. SOLICITUD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A33F" w14:textId="45766AE8" w:rsidR="004B2C86" w:rsidRPr="00A31AF0" w:rsidRDefault="004B2C86" w:rsidP="00546A37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</w:tr>
      <w:tr w:rsidR="007C5D7D" w:rsidRPr="00A31AF0" w14:paraId="2BC506BB" w14:textId="77777777" w:rsidTr="008708E0">
        <w:trPr>
          <w:trHeight w:val="689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F90A" w14:textId="0A6D4F50" w:rsidR="007C5D7D" w:rsidRDefault="007C5D7D" w:rsidP="0089471B">
            <w:pPr>
              <w:spacing w:after="0" w:line="240" w:lineRule="atLeast"/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hAnsi="Verdana" w:cs="Tahoma"/>
                <w:sz w:val="20"/>
                <w:szCs w:val="20"/>
                <w:lang w:eastAsia="es-ES"/>
              </w:rPr>
              <w:t>4.2</w:t>
            </w: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. </w:t>
            </w:r>
            <w:r w:rsidRPr="005369AD">
              <w:rPr>
                <w:rFonts w:ascii="Verdana" w:hAnsi="Verdana" w:cs="Tahoma"/>
                <w:b/>
                <w:sz w:val="20"/>
                <w:szCs w:val="20"/>
                <w:lang w:eastAsia="es-ES"/>
              </w:rPr>
              <w:t>ANEXO III</w:t>
            </w: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.</w:t>
            </w:r>
            <w:r w:rsidR="000B18BA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 </w:t>
            </w: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DECLARACIÓN RESPONSABLE</w:t>
            </w:r>
            <w:r w:rsidR="000B18BA">
              <w:rPr>
                <w:rFonts w:ascii="Verdana" w:hAnsi="Verdana" w:cs="Tahoma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BD9D" w14:textId="77777777" w:rsidR="007C5D7D" w:rsidRPr="00A31AF0" w:rsidRDefault="007C5D7D" w:rsidP="004B2C8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</w:tr>
      <w:tr w:rsidR="004B2C86" w:rsidRPr="00A31AF0" w14:paraId="639E8F4A" w14:textId="77777777" w:rsidTr="008708E0">
        <w:trPr>
          <w:trHeight w:val="600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3A36" w14:textId="4108943E" w:rsidR="004B2C86" w:rsidRPr="00A31AF0" w:rsidRDefault="007C5D7D" w:rsidP="00837F50">
            <w:pPr>
              <w:spacing w:after="120"/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hAnsi="Verdana" w:cs="Tahoma"/>
                <w:sz w:val="20"/>
                <w:szCs w:val="20"/>
                <w:lang w:eastAsia="es-ES"/>
              </w:rPr>
              <w:t>4.3</w:t>
            </w:r>
            <w:r w:rsidR="004B2C86"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. </w:t>
            </w:r>
            <w:r w:rsidR="00837F50" w:rsidRPr="00837F50">
              <w:rPr>
                <w:rFonts w:ascii="Verdana" w:hAnsi="Verdana" w:cs="Tahoma"/>
                <w:sz w:val="20"/>
                <w:szCs w:val="20"/>
                <w:lang w:eastAsia="es-ES"/>
              </w:rPr>
              <w:t>Diagnóstico de situación en materia de igualdad de oportunidades de mujeres y hombres que sirvió de base para la realización del plan o las políticas de igualdad.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1716" w14:textId="690A2691" w:rsidR="004B2C86" w:rsidRPr="00A31AF0" w:rsidRDefault="004B2C86" w:rsidP="004B2C8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</w:tr>
      <w:tr w:rsidR="004B2C86" w:rsidRPr="00A31AF0" w14:paraId="128EF4C0" w14:textId="77777777" w:rsidTr="008708E0">
        <w:trPr>
          <w:trHeight w:val="765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8DE2" w14:textId="193A7498" w:rsidR="004B2C86" w:rsidRPr="00A31AF0" w:rsidRDefault="001F348C" w:rsidP="00837F50">
            <w:pPr>
              <w:spacing w:after="120" w:line="240" w:lineRule="atLeast"/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hAnsi="Verdana" w:cs="Tahoma"/>
                <w:sz w:val="20"/>
                <w:szCs w:val="20"/>
                <w:lang w:eastAsia="es-ES"/>
              </w:rPr>
              <w:t>4.4</w:t>
            </w:r>
            <w:r w:rsidR="004B2C86"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. </w:t>
            </w:r>
            <w:r w:rsidR="00837F50" w:rsidRPr="00837F50">
              <w:rPr>
                <w:rFonts w:ascii="Verdana" w:hAnsi="Verdana" w:cs="Tahoma"/>
                <w:sz w:val="20"/>
                <w:szCs w:val="20"/>
                <w:lang w:eastAsia="es-ES"/>
              </w:rPr>
              <w:t>La auditoría retributiva que permita comprobar si el sistema retributivo de la empresa, de manera transversal y completa, cumple con la aplicación efectiva del principio de igualdad entre mujeres y hombres en materia de retribución.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F703" w14:textId="6755FE50" w:rsidR="004B2C86" w:rsidRPr="00A31AF0" w:rsidRDefault="004B2C86" w:rsidP="004B2C8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</w:tr>
      <w:tr w:rsidR="0028022A" w:rsidRPr="00A31AF0" w14:paraId="6D893437" w14:textId="77777777" w:rsidTr="008708E0">
        <w:trPr>
          <w:trHeight w:val="765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C4B6" w14:textId="55FC4EE1" w:rsidR="0028022A" w:rsidRPr="00A31AF0" w:rsidRDefault="0028022A" w:rsidP="00837F50">
            <w:pPr>
              <w:spacing w:after="120" w:line="240" w:lineRule="atLeast"/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4.</w:t>
            </w:r>
            <w:r w:rsidR="001F348C">
              <w:rPr>
                <w:rFonts w:ascii="Verdana" w:hAnsi="Verdana" w:cs="Tahoma"/>
                <w:sz w:val="20"/>
                <w:szCs w:val="20"/>
                <w:lang w:eastAsia="es-ES"/>
              </w:rPr>
              <w:t>5</w:t>
            </w:r>
            <w:r w:rsidR="006F0EEF">
              <w:rPr>
                <w:rFonts w:ascii="Verdana" w:hAnsi="Verdana" w:cs="Tahoma"/>
                <w:sz w:val="20"/>
                <w:szCs w:val="20"/>
                <w:lang w:eastAsia="es-ES"/>
              </w:rPr>
              <w:t>.</w:t>
            </w:r>
            <w:r w:rsidRPr="00A31AF0">
              <w:rPr>
                <w:rFonts w:ascii="Verdana" w:hAnsi="Verdana" w:cs="Tahoma"/>
                <w:b/>
                <w:sz w:val="20"/>
                <w:szCs w:val="20"/>
                <w:lang w:eastAsia="es-ES"/>
              </w:rPr>
              <w:t xml:space="preserve"> </w:t>
            </w:r>
            <w:r w:rsidR="00837F50"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Documento</w:t>
            </w:r>
            <w:r w:rsidR="00837F50">
              <w:rPr>
                <w:rFonts w:ascii="Verdana" w:hAnsi="Verdana" w:cs="Tahoma"/>
                <w:sz w:val="20"/>
                <w:szCs w:val="20"/>
                <w:lang w:eastAsia="es-ES"/>
              </w:rPr>
              <w:t>(</w:t>
            </w:r>
            <w:r w:rsidR="00837F50"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s</w:t>
            </w:r>
            <w:r w:rsidR="00837F50">
              <w:rPr>
                <w:rFonts w:ascii="Verdana" w:hAnsi="Verdana" w:cs="Tahoma"/>
                <w:sz w:val="20"/>
                <w:szCs w:val="20"/>
                <w:lang w:eastAsia="es-ES"/>
              </w:rPr>
              <w:t>)</w:t>
            </w:r>
            <w:r w:rsidR="00837F50"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 que </w:t>
            </w:r>
            <w:r w:rsidR="00837F50">
              <w:rPr>
                <w:rFonts w:ascii="Verdana" w:hAnsi="Verdana" w:cs="Tahoma"/>
                <w:sz w:val="20"/>
                <w:szCs w:val="20"/>
                <w:lang w:eastAsia="es-ES"/>
              </w:rPr>
              <w:t>recoge(n)</w:t>
            </w:r>
            <w:r w:rsidR="00837F50"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 el acuerdo alcanzado.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2C3F" w14:textId="77777777" w:rsidR="0028022A" w:rsidRPr="00A31AF0" w:rsidRDefault="0028022A" w:rsidP="004B2C8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</w:tr>
      <w:tr w:rsidR="00837F50" w:rsidRPr="00A31AF0" w14:paraId="7C186D04" w14:textId="77777777" w:rsidTr="008708E0">
        <w:trPr>
          <w:trHeight w:val="765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320E" w14:textId="4B6AE388" w:rsidR="00837F50" w:rsidRPr="00A31AF0" w:rsidRDefault="00837F50" w:rsidP="007C5D7D">
            <w:pPr>
              <w:spacing w:after="120" w:line="240" w:lineRule="atLeast"/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hAnsi="Verdana" w:cs="Tahoma"/>
                <w:sz w:val="20"/>
                <w:szCs w:val="20"/>
                <w:lang w:eastAsia="es-ES"/>
              </w:rPr>
              <w:t>4.6</w:t>
            </w:r>
            <w:r w:rsidR="006F0EEF">
              <w:rPr>
                <w:rFonts w:ascii="Verdana" w:hAnsi="Verdana" w:cs="Tahoma"/>
                <w:sz w:val="20"/>
                <w:szCs w:val="20"/>
                <w:lang w:eastAsia="es-ES"/>
              </w:rPr>
              <w:t>.</w:t>
            </w:r>
            <w:r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 </w:t>
            </w:r>
            <w:r w:rsidRPr="00837F50">
              <w:rPr>
                <w:rFonts w:ascii="Verdana" w:hAnsi="Verdana" w:cs="Tahoma"/>
                <w:sz w:val="20"/>
                <w:szCs w:val="20"/>
                <w:lang w:eastAsia="es-ES"/>
              </w:rPr>
              <w:t>Texto o textos íntegros en los que conste el plan de igualdad o las políticas de igualdad implantadas en la empresa.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1669" w14:textId="77777777" w:rsidR="00837F50" w:rsidRPr="00A31AF0" w:rsidRDefault="00837F50" w:rsidP="004B2C8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</w:tr>
      <w:tr w:rsidR="00263D47" w:rsidRPr="00A31AF0" w14:paraId="4CCF9299" w14:textId="77777777" w:rsidTr="008708E0">
        <w:trPr>
          <w:trHeight w:val="765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EEC6" w14:textId="5EA7B16B" w:rsidR="00263D47" w:rsidRPr="00A31AF0" w:rsidRDefault="0028022A" w:rsidP="0007163B">
            <w:pPr>
              <w:spacing w:after="120" w:line="240" w:lineRule="atLeast"/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4.</w:t>
            </w:r>
            <w:r w:rsidR="00837F50">
              <w:rPr>
                <w:rFonts w:ascii="Verdana" w:hAnsi="Verdana" w:cs="Tahoma"/>
                <w:sz w:val="20"/>
                <w:szCs w:val="20"/>
                <w:lang w:eastAsia="es-ES"/>
              </w:rPr>
              <w:t>7</w:t>
            </w:r>
            <w:r w:rsidR="006F0EEF">
              <w:rPr>
                <w:rFonts w:ascii="Verdana" w:hAnsi="Verdana" w:cs="Tahoma"/>
                <w:sz w:val="20"/>
                <w:szCs w:val="20"/>
                <w:lang w:eastAsia="es-ES"/>
              </w:rPr>
              <w:t>.</w:t>
            </w:r>
            <w:r w:rsidR="00263D47" w:rsidRPr="00A31AF0">
              <w:rPr>
                <w:rFonts w:ascii="Verdana" w:hAnsi="Verdana"/>
              </w:rPr>
              <w:t xml:space="preserve"> </w:t>
            </w:r>
            <w:r w:rsidR="00263D47"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Informes de </w:t>
            </w:r>
            <w:r w:rsidR="0007163B">
              <w:rPr>
                <w:rFonts w:ascii="Verdana" w:hAnsi="Verdana" w:cs="Tahoma"/>
                <w:sz w:val="20"/>
                <w:szCs w:val="20"/>
                <w:lang w:eastAsia="es-ES"/>
              </w:rPr>
              <w:t>seguimiento y evaluación del p</w:t>
            </w:r>
            <w:r w:rsidR="00263D47"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lan </w:t>
            </w:r>
            <w:r w:rsidR="0007163B">
              <w:rPr>
                <w:rFonts w:ascii="Verdana" w:hAnsi="Verdana" w:cs="Tahoma"/>
                <w:sz w:val="20"/>
                <w:szCs w:val="20"/>
                <w:lang w:eastAsia="es-ES"/>
              </w:rPr>
              <w:t>o de las políticas de i</w:t>
            </w:r>
            <w:r w:rsidR="00263D47"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gualdad en las empresas, o documentación acreditativa de la implantación de tres medidas de su política de igualdad.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E211" w14:textId="77777777" w:rsidR="00263D47" w:rsidRPr="00A31AF0" w:rsidRDefault="00263D47" w:rsidP="004B2C8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</w:tr>
      <w:tr w:rsidR="00263D47" w:rsidRPr="00A31AF0" w14:paraId="181751B6" w14:textId="77777777" w:rsidTr="008708E0">
        <w:trPr>
          <w:trHeight w:val="765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2C95" w14:textId="624E4DFB" w:rsidR="00263D47" w:rsidRPr="00A31AF0" w:rsidRDefault="0089471B" w:rsidP="007C5D7D">
            <w:pPr>
              <w:spacing w:after="120" w:line="240" w:lineRule="atLeast"/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4.</w:t>
            </w:r>
            <w:r w:rsidR="00837F50">
              <w:rPr>
                <w:rFonts w:ascii="Verdana" w:hAnsi="Verdana" w:cs="Tahoma"/>
                <w:sz w:val="20"/>
                <w:szCs w:val="20"/>
                <w:lang w:eastAsia="es-ES"/>
              </w:rPr>
              <w:t>8</w:t>
            </w:r>
            <w:r w:rsidR="006F0EEF">
              <w:rPr>
                <w:rFonts w:ascii="Verdana" w:hAnsi="Verdana" w:cs="Tahoma"/>
                <w:sz w:val="20"/>
                <w:szCs w:val="20"/>
                <w:lang w:eastAsia="es-ES"/>
              </w:rPr>
              <w:t>.</w:t>
            </w:r>
            <w:r w:rsidR="00837F50">
              <w:rPr>
                <w:rFonts w:ascii="Verdana" w:hAnsi="Verdana"/>
              </w:rPr>
              <w:t xml:space="preserve"> </w:t>
            </w:r>
            <w:r w:rsidR="00837F50" w:rsidRPr="00837F50">
              <w:rPr>
                <w:rFonts w:ascii="Verdana" w:hAnsi="Verdana"/>
                <w:sz w:val="20"/>
                <w:szCs w:val="20"/>
              </w:rPr>
              <w:t>D</w:t>
            </w:r>
            <w:r w:rsidR="00263D47"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ocumentación relativa a los procedimientos y medidas establecidas en la empresa para la prevención del acoso sexual y el acoso por razón de sexo en el ámbito laboral.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2027" w14:textId="77777777" w:rsidR="00263D47" w:rsidRPr="00A31AF0" w:rsidRDefault="00263D47" w:rsidP="004B2C8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</w:tr>
      <w:tr w:rsidR="004B2C86" w:rsidRPr="00A31AF0" w14:paraId="1EE876CD" w14:textId="77777777" w:rsidTr="008708E0">
        <w:trPr>
          <w:trHeight w:val="1370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195C" w14:textId="771915B1" w:rsidR="004B2C86" w:rsidRPr="00A31AF0" w:rsidRDefault="001F348C" w:rsidP="00583ACB">
            <w:pPr>
              <w:spacing w:after="120" w:line="240" w:lineRule="atLeast"/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hAnsi="Verdana" w:cs="Tahoma"/>
                <w:sz w:val="20"/>
                <w:szCs w:val="20"/>
                <w:lang w:eastAsia="es-ES"/>
              </w:rPr>
              <w:t>4.9</w:t>
            </w:r>
            <w:r w:rsidR="004B2C86"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. Balance o informe sobre las medidas de igualdad implantadas en la empresa en relación con las condiciones de trabajo, el modelo organizativo, la responsabilidad social de la empresa y la difusión y publicidad de los productos y servicios ofrecidos.</w:t>
            </w:r>
            <w:r w:rsidR="007C5D7D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   </w:t>
            </w:r>
            <w:r w:rsidR="004B2C86"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 </w:t>
            </w:r>
            <w:r w:rsidR="004B2C86" w:rsidRPr="005369AD">
              <w:rPr>
                <w:rFonts w:ascii="Verdana" w:hAnsi="Verdana" w:cs="Tahoma"/>
                <w:b/>
                <w:sz w:val="20"/>
                <w:szCs w:val="20"/>
                <w:lang w:eastAsia="es-ES"/>
              </w:rPr>
              <w:t>ANEXO II</w:t>
            </w:r>
            <w:r w:rsidR="000B18BA">
              <w:rPr>
                <w:rFonts w:ascii="Verdana" w:hAnsi="Verdana" w:cs="Tahoma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A41B" w14:textId="4A659679" w:rsidR="004B2C86" w:rsidRPr="00A31AF0" w:rsidRDefault="004B2C86" w:rsidP="004B2C8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</w:tr>
      <w:tr w:rsidR="004B2C86" w:rsidRPr="00A31AF0" w14:paraId="1E3F6424" w14:textId="77777777" w:rsidTr="008708E0">
        <w:trPr>
          <w:trHeight w:val="690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6BE4" w14:textId="6F876220" w:rsidR="004B2C86" w:rsidRPr="00A31AF0" w:rsidRDefault="004B2C86" w:rsidP="00583ACB">
            <w:pPr>
              <w:spacing w:after="120" w:line="240" w:lineRule="atLeast"/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4.1</w:t>
            </w:r>
            <w:r w:rsidR="001F348C">
              <w:rPr>
                <w:rFonts w:ascii="Verdana" w:hAnsi="Verdana" w:cs="Tahoma"/>
                <w:sz w:val="20"/>
                <w:szCs w:val="20"/>
                <w:lang w:eastAsia="es-ES"/>
              </w:rPr>
              <w:t>0</w:t>
            </w: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. Copia del compromiso explícito en materia de igualdad de oportunidades entre mujeres y hombres en las condiciones de trabajo, la organización y funcionamiento interno de la empresa y la responsabilidad social y la publicidad.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E65D" w14:textId="5475E882" w:rsidR="004B2C86" w:rsidRPr="00A31AF0" w:rsidRDefault="004B2C86" w:rsidP="004B2C8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</w:tr>
      <w:tr w:rsidR="004B2C86" w:rsidRPr="00A31AF0" w14:paraId="4FF339F0" w14:textId="77777777" w:rsidTr="008708E0">
        <w:trPr>
          <w:trHeight w:val="1736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C268" w14:textId="3315B9AF" w:rsidR="004B2C86" w:rsidRPr="00A31AF0" w:rsidRDefault="004B2C86" w:rsidP="0007163B">
            <w:pPr>
              <w:spacing w:after="120" w:line="240" w:lineRule="atLeast"/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lastRenderedPageBreak/>
              <w:t>4.1</w:t>
            </w:r>
            <w:r w:rsidR="001F348C">
              <w:rPr>
                <w:rFonts w:ascii="Verdana" w:hAnsi="Verdana" w:cs="Tahoma"/>
                <w:sz w:val="20"/>
                <w:szCs w:val="20"/>
                <w:lang w:eastAsia="es-ES"/>
              </w:rPr>
              <w:t>1</w:t>
            </w: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. Informe sobre el plan o las </w:t>
            </w:r>
            <w:r w:rsidR="0007163B">
              <w:rPr>
                <w:rFonts w:ascii="Verdana" w:hAnsi="Verdana" w:cs="Tahoma"/>
                <w:sz w:val="20"/>
                <w:szCs w:val="20"/>
                <w:lang w:eastAsia="es-ES"/>
              </w:rPr>
              <w:t>polític</w:t>
            </w: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as de igualdad en los que se apoya la solicitud, firmada por la representación del personal de la empresa (o por </w:t>
            </w:r>
            <w:r w:rsidR="00263D47"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personal</w:t>
            </w: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). En otro caso, se deberá acreditar haber ofrecido a la representación legal del personal, o directamente al personal, la posibilidad de in</w:t>
            </w:r>
            <w:r w:rsidR="0007163B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formar sobre el plan o las políticas </w:t>
            </w: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de igualdad en los que se apoya la solicitud</w:t>
            </w:r>
            <w:r w:rsidR="000B18BA">
              <w:rPr>
                <w:rFonts w:ascii="Verdana" w:hAnsi="Verdana" w:cs="Tahoma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05B8" w14:textId="5AF06C41" w:rsidR="004B2C86" w:rsidRPr="00A31AF0" w:rsidRDefault="004B2C86" w:rsidP="004B2C8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</w:tr>
      <w:tr w:rsidR="00DE6599" w:rsidRPr="00A31AF0" w14:paraId="1698C9E6" w14:textId="77777777" w:rsidTr="008708E0">
        <w:trPr>
          <w:trHeight w:val="520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ADCF" w14:textId="7112768A" w:rsidR="00DE6599" w:rsidRPr="00A31AF0" w:rsidRDefault="00C36E6A" w:rsidP="00C36E6A">
            <w:pPr>
              <w:spacing w:after="120" w:line="240" w:lineRule="atLeast"/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hAnsi="Verdana" w:cs="Tahoma"/>
                <w:sz w:val="20"/>
                <w:szCs w:val="20"/>
                <w:lang w:eastAsia="es-ES"/>
              </w:rPr>
              <w:t>4.12</w:t>
            </w:r>
            <w:r w:rsidR="006F0EEF">
              <w:rPr>
                <w:rFonts w:ascii="Verdana" w:hAnsi="Verdana" w:cs="Tahoma"/>
                <w:sz w:val="20"/>
                <w:szCs w:val="20"/>
                <w:lang w:eastAsia="es-ES"/>
              </w:rPr>
              <w:t>.</w:t>
            </w:r>
            <w:r w:rsidR="00DE6599"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 Documento acreditativo de la difusión interna del plan, o </w:t>
            </w:r>
            <w:r w:rsidR="009136C4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de </w:t>
            </w:r>
            <w:r w:rsidR="00DE6599"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las </w:t>
            </w:r>
            <w:r w:rsidR="007C5D7D">
              <w:rPr>
                <w:rFonts w:ascii="Verdana" w:hAnsi="Verdana" w:cs="Tahoma"/>
                <w:sz w:val="20"/>
                <w:szCs w:val="20"/>
                <w:lang w:eastAsia="es-ES"/>
              </w:rPr>
              <w:t>políticas de igualdad</w:t>
            </w:r>
            <w:r w:rsidR="003312C9">
              <w:rPr>
                <w:rFonts w:ascii="Verdana" w:hAnsi="Verdana" w:cs="Tahoma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A528" w14:textId="55371080" w:rsidR="00DE6599" w:rsidRPr="00A31AF0" w:rsidRDefault="00DE6599" w:rsidP="00DE6599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</w:tr>
      <w:tr w:rsidR="00DE6599" w:rsidRPr="00A31AF0" w14:paraId="28DE93E0" w14:textId="77777777" w:rsidTr="008708E0">
        <w:trPr>
          <w:trHeight w:val="510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3246" w14:textId="6C5A7C99" w:rsidR="00DE6599" w:rsidRPr="00A31AF0" w:rsidRDefault="00C36E6A" w:rsidP="00C36E6A">
            <w:pPr>
              <w:spacing w:after="120" w:line="240" w:lineRule="atLeast"/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hAnsi="Verdana" w:cs="Tahoma"/>
                <w:sz w:val="20"/>
                <w:szCs w:val="20"/>
                <w:lang w:eastAsia="es-ES"/>
              </w:rPr>
              <w:t>4.13</w:t>
            </w:r>
            <w:r w:rsidR="006F0EEF">
              <w:rPr>
                <w:rFonts w:ascii="Verdana" w:hAnsi="Verdana" w:cs="Tahoma"/>
                <w:sz w:val="20"/>
                <w:szCs w:val="20"/>
                <w:lang w:eastAsia="es-ES"/>
              </w:rPr>
              <w:t>.</w:t>
            </w:r>
            <w:r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 </w:t>
            </w:r>
            <w:r w:rsidR="00DE6599"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Documento acreditativo de la publicidad externa</w:t>
            </w:r>
            <w:r w:rsidR="0007163B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 realizada del plan o las políticas de igualdad.</w:t>
            </w:r>
            <w:r w:rsidR="00DE6599"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 (Facultativo).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B0B2" w14:textId="3C80EE38" w:rsidR="00DE6599" w:rsidRPr="00A31AF0" w:rsidRDefault="00DE6599" w:rsidP="00DE6599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</w:tr>
      <w:tr w:rsidR="00DE6599" w:rsidRPr="00A31AF0" w14:paraId="1229F572" w14:textId="77777777" w:rsidTr="008708E0">
        <w:trPr>
          <w:trHeight w:val="510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662A" w14:textId="666AEC25" w:rsidR="00DE6599" w:rsidRPr="00A31AF0" w:rsidRDefault="00C36E6A" w:rsidP="003312C9">
            <w:pPr>
              <w:spacing w:after="120" w:line="240" w:lineRule="atLeast"/>
              <w:ind w:firstLine="67"/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hAnsi="Verdana" w:cs="Tahoma"/>
                <w:sz w:val="20"/>
                <w:szCs w:val="20"/>
                <w:lang w:eastAsia="es-ES"/>
              </w:rPr>
              <w:t>4.14</w:t>
            </w:r>
            <w:r w:rsidR="006F0EEF">
              <w:rPr>
                <w:rFonts w:ascii="Verdana" w:hAnsi="Verdana" w:cs="Tahoma"/>
                <w:sz w:val="20"/>
                <w:szCs w:val="20"/>
                <w:lang w:eastAsia="es-ES"/>
              </w:rPr>
              <w:t>.</w:t>
            </w:r>
            <w:r w:rsidR="00DE6599"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 Cualquier otra documentación que contribuya al mejor conocimiento del plan de igualdad o las políticas de igualdad en la empresa candidata</w:t>
            </w:r>
            <w:r w:rsidR="003312C9">
              <w:rPr>
                <w:rFonts w:ascii="Verdana" w:hAnsi="Verdana" w:cs="Tahoma"/>
                <w:sz w:val="20"/>
                <w:szCs w:val="20"/>
                <w:lang w:eastAsia="es-ES"/>
              </w:rPr>
              <w:t>. (Facultativo)</w:t>
            </w:r>
            <w:r w:rsidR="009F7DF3">
              <w:rPr>
                <w:rFonts w:ascii="Verdana" w:hAnsi="Verdana" w:cs="Tahoma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0F5B" w14:textId="77777777" w:rsidR="00DE6599" w:rsidRPr="00A31AF0" w:rsidRDefault="00DE6599" w:rsidP="00DE6599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</w:tr>
    </w:tbl>
    <w:p w14:paraId="2690C8B4" w14:textId="77777777" w:rsidR="0019746C" w:rsidRPr="00A31AF0" w:rsidRDefault="0019746C" w:rsidP="003817E1">
      <w:pPr>
        <w:rPr>
          <w:rFonts w:ascii="Verdana" w:hAnsi="Verdana"/>
        </w:rPr>
      </w:pPr>
    </w:p>
    <w:sectPr w:rsidR="0019746C" w:rsidRPr="00A31AF0" w:rsidSect="005142A6">
      <w:headerReference w:type="default" r:id="rId8"/>
      <w:footerReference w:type="default" r:id="rId9"/>
      <w:pgSz w:w="11906" w:h="16838"/>
      <w:pgMar w:top="260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F4294" w14:textId="77777777" w:rsidR="00C854AC" w:rsidRDefault="00C854AC" w:rsidP="0033118A">
      <w:pPr>
        <w:spacing w:after="0" w:line="240" w:lineRule="auto"/>
      </w:pPr>
      <w:r>
        <w:separator/>
      </w:r>
    </w:p>
  </w:endnote>
  <w:endnote w:type="continuationSeparator" w:id="0">
    <w:p w14:paraId="13622479" w14:textId="77777777" w:rsidR="00C854AC" w:rsidRDefault="00C854AC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8" w:type="dxa"/>
      <w:tblLook w:val="01E0" w:firstRow="1" w:lastRow="1" w:firstColumn="1" w:lastColumn="1" w:noHBand="0" w:noVBand="0"/>
    </w:tblPr>
    <w:tblGrid>
      <w:gridCol w:w="7088"/>
      <w:gridCol w:w="1560"/>
    </w:tblGrid>
    <w:tr w:rsidR="00C854AC" w:rsidRPr="00431AB3" w14:paraId="0C604AAE" w14:textId="77777777" w:rsidTr="00BC120A">
      <w:tc>
        <w:tcPr>
          <w:tcW w:w="7088" w:type="dxa"/>
          <w:shd w:val="clear" w:color="auto" w:fill="auto"/>
        </w:tcPr>
        <w:p w14:paraId="13F3795A" w14:textId="77777777" w:rsidR="00C854AC" w:rsidRPr="00431AB3" w:rsidRDefault="00C854AC" w:rsidP="00BC120A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31AB3">
            <w:rPr>
              <w:rFonts w:ascii="Arial" w:hAnsi="Arial" w:cs="Arial"/>
              <w:b/>
              <w:sz w:val="18"/>
              <w:szCs w:val="18"/>
            </w:rPr>
            <w:t xml:space="preserve">FONDO SOCIAL EUROPEO. </w:t>
          </w:r>
          <w:r w:rsidRPr="00431AB3">
            <w:rPr>
              <w:rFonts w:ascii="Arial" w:hAnsi="Arial" w:cs="Arial"/>
              <w:b/>
              <w:i/>
              <w:sz w:val="18"/>
              <w:szCs w:val="18"/>
            </w:rPr>
            <w:t>El FSE invierte en tu futuro</w:t>
          </w:r>
        </w:p>
      </w:tc>
      <w:tc>
        <w:tcPr>
          <w:tcW w:w="1560" w:type="dxa"/>
          <w:shd w:val="clear" w:color="auto" w:fill="auto"/>
        </w:tcPr>
        <w:p w14:paraId="7E8340F7" w14:textId="77777777" w:rsidR="00C854AC" w:rsidRPr="00431AB3" w:rsidRDefault="00C854AC" w:rsidP="001A670E">
          <w:pPr>
            <w:pStyle w:val="Piedepgina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431AB3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5369AD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5369AD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51DADEE" w14:textId="77777777" w:rsidR="00C854AC" w:rsidRDefault="00C854AC">
    <w:pPr>
      <w:pStyle w:val="Piedepgina"/>
    </w:pPr>
  </w:p>
  <w:p w14:paraId="3EA6708F" w14:textId="77777777" w:rsidR="00C854AC" w:rsidRDefault="00C854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993A5" w14:textId="77777777" w:rsidR="00C854AC" w:rsidRDefault="00C854AC" w:rsidP="0033118A">
      <w:pPr>
        <w:spacing w:after="0" w:line="240" w:lineRule="auto"/>
      </w:pPr>
      <w:r>
        <w:separator/>
      </w:r>
    </w:p>
  </w:footnote>
  <w:footnote w:type="continuationSeparator" w:id="0">
    <w:p w14:paraId="34172D4A" w14:textId="77777777" w:rsidR="00C854AC" w:rsidRDefault="00C854AC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3FA22" w14:textId="1DC7E5C6" w:rsidR="00C854AC" w:rsidRDefault="00C854AC">
    <w:r w:rsidRPr="00621917">
      <w:rPr>
        <w:noProof/>
        <w:w w:val="150"/>
        <w:sz w:val="18"/>
        <w:lang w:eastAsia="es-ES"/>
      </w:rPr>
      <w:drawing>
        <wp:anchor distT="0" distB="0" distL="114300" distR="114300" simplePos="0" relativeHeight="251661312" behindDoc="0" locked="0" layoutInCell="1" allowOverlap="1" wp14:anchorId="18C69B7F" wp14:editId="550B6B86">
          <wp:simplePos x="0" y="0"/>
          <wp:positionH relativeFrom="margin">
            <wp:align>center</wp:align>
          </wp:positionH>
          <wp:positionV relativeFrom="page">
            <wp:posOffset>449580</wp:posOffset>
          </wp:positionV>
          <wp:extent cx="867410" cy="719455"/>
          <wp:effectExtent l="0" t="0" r="8890" b="444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SE -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335C670" wp14:editId="00E2DB2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3678" cy="1655445"/>
          <wp:effectExtent l="0" t="0" r="0" b="1905"/>
          <wp:wrapNone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-371"/>
                  <a:stretch/>
                </pic:blipFill>
                <pic:spPr bwMode="auto">
                  <a:xfrm>
                    <a:off x="0" y="0"/>
                    <a:ext cx="7563678" cy="1655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649"/>
    <w:multiLevelType w:val="hybridMultilevel"/>
    <w:tmpl w:val="490267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744BD"/>
    <w:multiLevelType w:val="hybridMultilevel"/>
    <w:tmpl w:val="7D20C42C"/>
    <w:lvl w:ilvl="0" w:tplc="20163894">
      <w:start w:val="1"/>
      <w:numFmt w:val="lowerLetter"/>
      <w:lvlText w:val="%1)"/>
      <w:lvlJc w:val="left"/>
      <w:pPr>
        <w:ind w:left="1155" w:hanging="360"/>
      </w:pPr>
      <w:rPr>
        <w:rFonts w:hint="default"/>
        <w:b w:val="0"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75" w:hanging="360"/>
      </w:pPr>
    </w:lvl>
    <w:lvl w:ilvl="2" w:tplc="0C0A001B" w:tentative="1">
      <w:start w:val="1"/>
      <w:numFmt w:val="lowerRoman"/>
      <w:lvlText w:val="%3."/>
      <w:lvlJc w:val="right"/>
      <w:pPr>
        <w:ind w:left="2595" w:hanging="180"/>
      </w:pPr>
    </w:lvl>
    <w:lvl w:ilvl="3" w:tplc="0C0A000F" w:tentative="1">
      <w:start w:val="1"/>
      <w:numFmt w:val="decimal"/>
      <w:lvlText w:val="%4."/>
      <w:lvlJc w:val="left"/>
      <w:pPr>
        <w:ind w:left="3315" w:hanging="360"/>
      </w:pPr>
    </w:lvl>
    <w:lvl w:ilvl="4" w:tplc="0C0A0019" w:tentative="1">
      <w:start w:val="1"/>
      <w:numFmt w:val="lowerLetter"/>
      <w:lvlText w:val="%5."/>
      <w:lvlJc w:val="left"/>
      <w:pPr>
        <w:ind w:left="4035" w:hanging="360"/>
      </w:pPr>
    </w:lvl>
    <w:lvl w:ilvl="5" w:tplc="0C0A001B" w:tentative="1">
      <w:start w:val="1"/>
      <w:numFmt w:val="lowerRoman"/>
      <w:lvlText w:val="%6."/>
      <w:lvlJc w:val="right"/>
      <w:pPr>
        <w:ind w:left="4755" w:hanging="180"/>
      </w:pPr>
    </w:lvl>
    <w:lvl w:ilvl="6" w:tplc="0C0A000F" w:tentative="1">
      <w:start w:val="1"/>
      <w:numFmt w:val="decimal"/>
      <w:lvlText w:val="%7."/>
      <w:lvlJc w:val="left"/>
      <w:pPr>
        <w:ind w:left="5475" w:hanging="360"/>
      </w:pPr>
    </w:lvl>
    <w:lvl w:ilvl="7" w:tplc="0C0A0019" w:tentative="1">
      <w:start w:val="1"/>
      <w:numFmt w:val="lowerLetter"/>
      <w:lvlText w:val="%8."/>
      <w:lvlJc w:val="left"/>
      <w:pPr>
        <w:ind w:left="6195" w:hanging="360"/>
      </w:pPr>
    </w:lvl>
    <w:lvl w:ilvl="8" w:tplc="0C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211D7CFC"/>
    <w:multiLevelType w:val="hybridMultilevel"/>
    <w:tmpl w:val="3704026A"/>
    <w:lvl w:ilvl="0" w:tplc="B8E24914">
      <w:start w:val="1"/>
      <w:numFmt w:val="bullet"/>
      <w:lvlText w:val=""/>
      <w:lvlJc w:val="left"/>
      <w:pPr>
        <w:ind w:left="7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 w15:restartNumberingAfterBreak="0">
    <w:nsid w:val="276D3021"/>
    <w:multiLevelType w:val="hybridMultilevel"/>
    <w:tmpl w:val="E3F24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E2A46"/>
    <w:multiLevelType w:val="hybridMultilevel"/>
    <w:tmpl w:val="01C65FC8"/>
    <w:lvl w:ilvl="0" w:tplc="A0824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85D00"/>
    <w:multiLevelType w:val="hybridMultilevel"/>
    <w:tmpl w:val="50342BA6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704B6"/>
    <w:multiLevelType w:val="hybridMultilevel"/>
    <w:tmpl w:val="D65E5B90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4507B"/>
    <w:multiLevelType w:val="multilevel"/>
    <w:tmpl w:val="87F6683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strike w:val="0"/>
      </w:rPr>
    </w:lvl>
    <w:lvl w:ilvl="1">
      <w:start w:val="15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8" w15:restartNumberingAfterBreak="0">
    <w:nsid w:val="568E4679"/>
    <w:multiLevelType w:val="hybridMultilevel"/>
    <w:tmpl w:val="A332377A"/>
    <w:lvl w:ilvl="0" w:tplc="B8B0BF2C">
      <w:start w:val="1"/>
      <w:numFmt w:val="upperLetter"/>
      <w:lvlText w:val="%1)."/>
      <w:lvlJc w:val="left"/>
      <w:pPr>
        <w:ind w:left="1146" w:hanging="360"/>
      </w:pPr>
      <w:rPr>
        <w:rFonts w:hint="default"/>
      </w:rPr>
    </w:lvl>
    <w:lvl w:ilvl="1" w:tplc="B8B0BF2C">
      <w:start w:val="1"/>
      <w:numFmt w:val="upperLetter"/>
      <w:lvlText w:val="%2)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77D12"/>
    <w:multiLevelType w:val="hybridMultilevel"/>
    <w:tmpl w:val="5D586C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10D40"/>
    <w:multiLevelType w:val="hybridMultilevel"/>
    <w:tmpl w:val="0FDE15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424B28">
      <w:start w:val="1"/>
      <w:numFmt w:val="upperLetter"/>
      <w:lvlText w:val="%2)"/>
      <w:lvlJc w:val="left"/>
      <w:pPr>
        <w:ind w:left="1440" w:hanging="360"/>
      </w:pPr>
      <w:rPr>
        <w:rFonts w:cs="Tahoma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46E29"/>
    <w:multiLevelType w:val="hybridMultilevel"/>
    <w:tmpl w:val="0E3A020C"/>
    <w:lvl w:ilvl="0" w:tplc="9370D1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C6DAE"/>
    <w:multiLevelType w:val="hybridMultilevel"/>
    <w:tmpl w:val="D758DA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C355E"/>
    <w:multiLevelType w:val="hybridMultilevel"/>
    <w:tmpl w:val="32CC083E"/>
    <w:lvl w:ilvl="0" w:tplc="77BCFC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B450F"/>
    <w:multiLevelType w:val="hybridMultilevel"/>
    <w:tmpl w:val="EC74CA0E"/>
    <w:lvl w:ilvl="0" w:tplc="2A9C1E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557E0"/>
    <w:multiLevelType w:val="multilevel"/>
    <w:tmpl w:val="0AC0BA0A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14"/>
  </w:num>
  <w:num w:numId="8">
    <w:abstractNumId w:val="12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1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21"/>
    <w:rsid w:val="00010C58"/>
    <w:rsid w:val="000154A7"/>
    <w:rsid w:val="000220B6"/>
    <w:rsid w:val="00047D79"/>
    <w:rsid w:val="00071164"/>
    <w:rsid w:val="0007163B"/>
    <w:rsid w:val="000752FA"/>
    <w:rsid w:val="00083BC6"/>
    <w:rsid w:val="000847BA"/>
    <w:rsid w:val="000A0306"/>
    <w:rsid w:val="000A6CBE"/>
    <w:rsid w:val="000B18BA"/>
    <w:rsid w:val="000B4103"/>
    <w:rsid w:val="000C2F27"/>
    <w:rsid w:val="000C612C"/>
    <w:rsid w:val="000D548A"/>
    <w:rsid w:val="000E2E6F"/>
    <w:rsid w:val="000E35E8"/>
    <w:rsid w:val="000F18EC"/>
    <w:rsid w:val="0010141A"/>
    <w:rsid w:val="0010498F"/>
    <w:rsid w:val="00117298"/>
    <w:rsid w:val="00124150"/>
    <w:rsid w:val="00124667"/>
    <w:rsid w:val="001248A7"/>
    <w:rsid w:val="00125B61"/>
    <w:rsid w:val="0013104E"/>
    <w:rsid w:val="001353E8"/>
    <w:rsid w:val="00136CF4"/>
    <w:rsid w:val="00137905"/>
    <w:rsid w:val="001425A5"/>
    <w:rsid w:val="00152C21"/>
    <w:rsid w:val="001722D7"/>
    <w:rsid w:val="00184194"/>
    <w:rsid w:val="00190DDA"/>
    <w:rsid w:val="00195CB4"/>
    <w:rsid w:val="0019746C"/>
    <w:rsid w:val="001A670E"/>
    <w:rsid w:val="001B7707"/>
    <w:rsid w:val="001D0510"/>
    <w:rsid w:val="001E39AE"/>
    <w:rsid w:val="001E706C"/>
    <w:rsid w:val="001F0985"/>
    <w:rsid w:val="001F348C"/>
    <w:rsid w:val="001F6198"/>
    <w:rsid w:val="001F7C78"/>
    <w:rsid w:val="001F7D0A"/>
    <w:rsid w:val="00216BCE"/>
    <w:rsid w:val="0022622F"/>
    <w:rsid w:val="00233632"/>
    <w:rsid w:val="00235B81"/>
    <w:rsid w:val="00244494"/>
    <w:rsid w:val="00245EE6"/>
    <w:rsid w:val="00256C3F"/>
    <w:rsid w:val="00256D7B"/>
    <w:rsid w:val="00263D47"/>
    <w:rsid w:val="0026503F"/>
    <w:rsid w:val="002663E1"/>
    <w:rsid w:val="002675DB"/>
    <w:rsid w:val="0028022A"/>
    <w:rsid w:val="0029490B"/>
    <w:rsid w:val="00295DC1"/>
    <w:rsid w:val="0029643D"/>
    <w:rsid w:val="00297010"/>
    <w:rsid w:val="002A55D8"/>
    <w:rsid w:val="002B5570"/>
    <w:rsid w:val="002C397D"/>
    <w:rsid w:val="002C4337"/>
    <w:rsid w:val="002D786F"/>
    <w:rsid w:val="00311B75"/>
    <w:rsid w:val="003250C7"/>
    <w:rsid w:val="00327224"/>
    <w:rsid w:val="0033118A"/>
    <w:rsid w:val="003312C9"/>
    <w:rsid w:val="00341740"/>
    <w:rsid w:val="003545AF"/>
    <w:rsid w:val="00361F89"/>
    <w:rsid w:val="003622DC"/>
    <w:rsid w:val="003817E1"/>
    <w:rsid w:val="0038188F"/>
    <w:rsid w:val="003861DF"/>
    <w:rsid w:val="003A12A2"/>
    <w:rsid w:val="003A1679"/>
    <w:rsid w:val="003B09D3"/>
    <w:rsid w:val="003C03CA"/>
    <w:rsid w:val="003C26F0"/>
    <w:rsid w:val="003D1F3F"/>
    <w:rsid w:val="003E2757"/>
    <w:rsid w:val="003E4191"/>
    <w:rsid w:val="003E47F4"/>
    <w:rsid w:val="003F1272"/>
    <w:rsid w:val="003F446D"/>
    <w:rsid w:val="003F6C92"/>
    <w:rsid w:val="00412813"/>
    <w:rsid w:val="00430070"/>
    <w:rsid w:val="00430A8A"/>
    <w:rsid w:val="00436285"/>
    <w:rsid w:val="00437594"/>
    <w:rsid w:val="0044135D"/>
    <w:rsid w:val="00451E9A"/>
    <w:rsid w:val="0046020D"/>
    <w:rsid w:val="00471FFD"/>
    <w:rsid w:val="004A67C6"/>
    <w:rsid w:val="004B2C86"/>
    <w:rsid w:val="004B5368"/>
    <w:rsid w:val="004B77E4"/>
    <w:rsid w:val="004C107F"/>
    <w:rsid w:val="004D0D6E"/>
    <w:rsid w:val="004D65B9"/>
    <w:rsid w:val="004D6779"/>
    <w:rsid w:val="004E1910"/>
    <w:rsid w:val="004E7DEE"/>
    <w:rsid w:val="004F4ECD"/>
    <w:rsid w:val="004F7D53"/>
    <w:rsid w:val="00500115"/>
    <w:rsid w:val="005142A6"/>
    <w:rsid w:val="0051728A"/>
    <w:rsid w:val="00522EA6"/>
    <w:rsid w:val="005240C0"/>
    <w:rsid w:val="005369AD"/>
    <w:rsid w:val="005453FD"/>
    <w:rsid w:val="00545FA5"/>
    <w:rsid w:val="00546098"/>
    <w:rsid w:val="00546A37"/>
    <w:rsid w:val="00546BB5"/>
    <w:rsid w:val="00563F65"/>
    <w:rsid w:val="00564CB7"/>
    <w:rsid w:val="00567C42"/>
    <w:rsid w:val="005800C2"/>
    <w:rsid w:val="00583ACB"/>
    <w:rsid w:val="005908AC"/>
    <w:rsid w:val="00596A7D"/>
    <w:rsid w:val="005A1365"/>
    <w:rsid w:val="005A46E1"/>
    <w:rsid w:val="005C1764"/>
    <w:rsid w:val="005C28A9"/>
    <w:rsid w:val="005D2789"/>
    <w:rsid w:val="005F11F3"/>
    <w:rsid w:val="00600BFF"/>
    <w:rsid w:val="00601372"/>
    <w:rsid w:val="00611A45"/>
    <w:rsid w:val="00632E69"/>
    <w:rsid w:val="0063621B"/>
    <w:rsid w:val="00636E34"/>
    <w:rsid w:val="006602D8"/>
    <w:rsid w:val="00681F44"/>
    <w:rsid w:val="00683F69"/>
    <w:rsid w:val="00683FC0"/>
    <w:rsid w:val="006A4681"/>
    <w:rsid w:val="006B6FA4"/>
    <w:rsid w:val="006D441C"/>
    <w:rsid w:val="006D45A9"/>
    <w:rsid w:val="006E3224"/>
    <w:rsid w:val="006E7140"/>
    <w:rsid w:val="006F0EEF"/>
    <w:rsid w:val="00701D25"/>
    <w:rsid w:val="007149DC"/>
    <w:rsid w:val="00716621"/>
    <w:rsid w:val="00730EB9"/>
    <w:rsid w:val="00732A00"/>
    <w:rsid w:val="0073421B"/>
    <w:rsid w:val="0074741E"/>
    <w:rsid w:val="00747F7A"/>
    <w:rsid w:val="00752411"/>
    <w:rsid w:val="007535C1"/>
    <w:rsid w:val="00757FE1"/>
    <w:rsid w:val="007A6105"/>
    <w:rsid w:val="007C0EB7"/>
    <w:rsid w:val="007C5D7D"/>
    <w:rsid w:val="007D040E"/>
    <w:rsid w:val="007D2B55"/>
    <w:rsid w:val="007E1689"/>
    <w:rsid w:val="007F28E5"/>
    <w:rsid w:val="00805E6D"/>
    <w:rsid w:val="00807CDE"/>
    <w:rsid w:val="0082460E"/>
    <w:rsid w:val="008267AE"/>
    <w:rsid w:val="0083375B"/>
    <w:rsid w:val="00837F50"/>
    <w:rsid w:val="00847F62"/>
    <w:rsid w:val="00850430"/>
    <w:rsid w:val="00853489"/>
    <w:rsid w:val="00857694"/>
    <w:rsid w:val="00861F99"/>
    <w:rsid w:val="00867726"/>
    <w:rsid w:val="008708E0"/>
    <w:rsid w:val="008817A4"/>
    <w:rsid w:val="0089471B"/>
    <w:rsid w:val="008B32EF"/>
    <w:rsid w:val="008B55BB"/>
    <w:rsid w:val="008C3A50"/>
    <w:rsid w:val="008D06D1"/>
    <w:rsid w:val="008D4A7F"/>
    <w:rsid w:val="008E0F84"/>
    <w:rsid w:val="008E32DC"/>
    <w:rsid w:val="008E3810"/>
    <w:rsid w:val="008E3C21"/>
    <w:rsid w:val="008F7423"/>
    <w:rsid w:val="009021A8"/>
    <w:rsid w:val="00905E74"/>
    <w:rsid w:val="00906811"/>
    <w:rsid w:val="00910FEC"/>
    <w:rsid w:val="009136C4"/>
    <w:rsid w:val="00924967"/>
    <w:rsid w:val="00932824"/>
    <w:rsid w:val="00941D11"/>
    <w:rsid w:val="00952B85"/>
    <w:rsid w:val="00954325"/>
    <w:rsid w:val="0096610F"/>
    <w:rsid w:val="009662BF"/>
    <w:rsid w:val="0096682F"/>
    <w:rsid w:val="00966DA3"/>
    <w:rsid w:val="009713C0"/>
    <w:rsid w:val="009A28BE"/>
    <w:rsid w:val="009B12C5"/>
    <w:rsid w:val="009C712D"/>
    <w:rsid w:val="009E11E5"/>
    <w:rsid w:val="009E5BE9"/>
    <w:rsid w:val="009F0B4C"/>
    <w:rsid w:val="009F7DF3"/>
    <w:rsid w:val="00A00ACA"/>
    <w:rsid w:val="00A04B6D"/>
    <w:rsid w:val="00A15D05"/>
    <w:rsid w:val="00A277A8"/>
    <w:rsid w:val="00A309D3"/>
    <w:rsid w:val="00A31AF0"/>
    <w:rsid w:val="00A33623"/>
    <w:rsid w:val="00A36655"/>
    <w:rsid w:val="00A441B7"/>
    <w:rsid w:val="00A547FC"/>
    <w:rsid w:val="00A66F60"/>
    <w:rsid w:val="00A801AF"/>
    <w:rsid w:val="00A92FE1"/>
    <w:rsid w:val="00AB50E8"/>
    <w:rsid w:val="00AB69C6"/>
    <w:rsid w:val="00AC3ADF"/>
    <w:rsid w:val="00AE0555"/>
    <w:rsid w:val="00AF5EEA"/>
    <w:rsid w:val="00AF5F4A"/>
    <w:rsid w:val="00AF7B4D"/>
    <w:rsid w:val="00B043EA"/>
    <w:rsid w:val="00B11017"/>
    <w:rsid w:val="00B13581"/>
    <w:rsid w:val="00B61D46"/>
    <w:rsid w:val="00B67065"/>
    <w:rsid w:val="00B73EA6"/>
    <w:rsid w:val="00B83260"/>
    <w:rsid w:val="00B908E3"/>
    <w:rsid w:val="00B92A34"/>
    <w:rsid w:val="00BB4C9C"/>
    <w:rsid w:val="00BB740D"/>
    <w:rsid w:val="00BC120A"/>
    <w:rsid w:val="00BC29AB"/>
    <w:rsid w:val="00BC4FC7"/>
    <w:rsid w:val="00BE24AC"/>
    <w:rsid w:val="00BE351A"/>
    <w:rsid w:val="00BF2E93"/>
    <w:rsid w:val="00BF49D6"/>
    <w:rsid w:val="00C11D3B"/>
    <w:rsid w:val="00C12623"/>
    <w:rsid w:val="00C1332C"/>
    <w:rsid w:val="00C1353C"/>
    <w:rsid w:val="00C13A41"/>
    <w:rsid w:val="00C340A8"/>
    <w:rsid w:val="00C36BD4"/>
    <w:rsid w:val="00C36E6A"/>
    <w:rsid w:val="00C420F2"/>
    <w:rsid w:val="00C44004"/>
    <w:rsid w:val="00C67F3C"/>
    <w:rsid w:val="00C814C2"/>
    <w:rsid w:val="00C82F09"/>
    <w:rsid w:val="00C854AC"/>
    <w:rsid w:val="00C924FF"/>
    <w:rsid w:val="00C94239"/>
    <w:rsid w:val="00C97E4D"/>
    <w:rsid w:val="00CA57D2"/>
    <w:rsid w:val="00CB342B"/>
    <w:rsid w:val="00CC0405"/>
    <w:rsid w:val="00CC14E9"/>
    <w:rsid w:val="00CC21C2"/>
    <w:rsid w:val="00CD02BC"/>
    <w:rsid w:val="00CD33FD"/>
    <w:rsid w:val="00CD4883"/>
    <w:rsid w:val="00CD5CA0"/>
    <w:rsid w:val="00CE5F74"/>
    <w:rsid w:val="00CF66B0"/>
    <w:rsid w:val="00D0196C"/>
    <w:rsid w:val="00D14C69"/>
    <w:rsid w:val="00D235A4"/>
    <w:rsid w:val="00D2774B"/>
    <w:rsid w:val="00D34177"/>
    <w:rsid w:val="00D51E50"/>
    <w:rsid w:val="00D53620"/>
    <w:rsid w:val="00D6539C"/>
    <w:rsid w:val="00D74DBC"/>
    <w:rsid w:val="00D862EB"/>
    <w:rsid w:val="00D94A1E"/>
    <w:rsid w:val="00DC1C7A"/>
    <w:rsid w:val="00DC25B4"/>
    <w:rsid w:val="00DC26FA"/>
    <w:rsid w:val="00DC3155"/>
    <w:rsid w:val="00DC6137"/>
    <w:rsid w:val="00DE0D6D"/>
    <w:rsid w:val="00DE46DD"/>
    <w:rsid w:val="00DE6347"/>
    <w:rsid w:val="00DE6599"/>
    <w:rsid w:val="00E11F1E"/>
    <w:rsid w:val="00E12704"/>
    <w:rsid w:val="00E167D0"/>
    <w:rsid w:val="00E203D3"/>
    <w:rsid w:val="00E23373"/>
    <w:rsid w:val="00E3051D"/>
    <w:rsid w:val="00E643EF"/>
    <w:rsid w:val="00E654F8"/>
    <w:rsid w:val="00E73556"/>
    <w:rsid w:val="00E8101A"/>
    <w:rsid w:val="00E81574"/>
    <w:rsid w:val="00E862F7"/>
    <w:rsid w:val="00E92BCD"/>
    <w:rsid w:val="00E9329F"/>
    <w:rsid w:val="00EA47A4"/>
    <w:rsid w:val="00EB2A3E"/>
    <w:rsid w:val="00EB79E6"/>
    <w:rsid w:val="00EC292F"/>
    <w:rsid w:val="00EC648C"/>
    <w:rsid w:val="00EC7C5F"/>
    <w:rsid w:val="00EE20C1"/>
    <w:rsid w:val="00F10D91"/>
    <w:rsid w:val="00F16487"/>
    <w:rsid w:val="00F217D2"/>
    <w:rsid w:val="00F34524"/>
    <w:rsid w:val="00F42A8A"/>
    <w:rsid w:val="00F478A7"/>
    <w:rsid w:val="00F47A36"/>
    <w:rsid w:val="00F51609"/>
    <w:rsid w:val="00F57B54"/>
    <w:rsid w:val="00F64701"/>
    <w:rsid w:val="00F71853"/>
    <w:rsid w:val="00FA1F4D"/>
    <w:rsid w:val="00FA347B"/>
    <w:rsid w:val="00FA756D"/>
    <w:rsid w:val="00FB3E80"/>
    <w:rsid w:val="00FB4788"/>
    <w:rsid w:val="00FB6801"/>
    <w:rsid w:val="00FD3B6B"/>
    <w:rsid w:val="00FE08DE"/>
    <w:rsid w:val="00FF050A"/>
    <w:rsid w:val="00FF1849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4B40112"/>
  <w15:chartTrackingRefBased/>
  <w15:docId w15:val="{41C495DF-F9BF-4842-9D8D-A3C6885A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A1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6A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3118A"/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1A670E"/>
    <w:rPr>
      <w:rFonts w:cs="Times New Roman"/>
    </w:rPr>
  </w:style>
  <w:style w:type="paragraph" w:customStyle="1" w:styleId="parrafo">
    <w:name w:val="parrafo"/>
    <w:basedOn w:val="Normal"/>
    <w:rsid w:val="0071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rticulo">
    <w:name w:val="articulo"/>
    <w:basedOn w:val="Normal"/>
    <w:rsid w:val="0071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71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magen">
    <w:name w:val="imagen"/>
    <w:basedOn w:val="Normal"/>
    <w:rsid w:val="0071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71662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B50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B50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B50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50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50E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0E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64CB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164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648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648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817E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817E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817E1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rsid w:val="004B77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C3AD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C3ADF"/>
    <w:rPr>
      <w:b/>
      <w:bCs/>
    </w:rPr>
  </w:style>
  <w:style w:type="character" w:styleId="nfasis">
    <w:name w:val="Emphasis"/>
    <w:basedOn w:val="Fuentedeprrafopredeter"/>
    <w:uiPriority w:val="20"/>
    <w:qFormat/>
    <w:rsid w:val="00AC3AD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546A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m30s\Documents\Plantillas%20personalizadas%20de%20Office\DGMIO+FSE%20(color)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FAC27-C1A6-4D12-96CB-51CCA8A2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DGMIO+FSE (color) 2019.dotx</Template>
  <TotalTime>5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PIÑERO MONTAGUT, JOSE JULIAN</dc:creator>
  <cp:keywords/>
  <dc:description/>
  <cp:lastModifiedBy>HERRERO MADRAZO, Mª TERESA</cp:lastModifiedBy>
  <cp:revision>5</cp:revision>
  <cp:lastPrinted>2022-11-14T18:41:00Z</cp:lastPrinted>
  <dcterms:created xsi:type="dcterms:W3CDTF">2022-11-28T13:08:00Z</dcterms:created>
  <dcterms:modified xsi:type="dcterms:W3CDTF">2022-11-28T13:25:00Z</dcterms:modified>
</cp:coreProperties>
</file>